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:rsidTr="00A45E83">
        <w:tc>
          <w:tcPr>
            <w:tcW w:w="8978" w:type="dxa"/>
          </w:tcPr>
          <w:p w:rsidR="00FA2397" w:rsidRDefault="00D32522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ente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sz w:val="24"/>
                <w:szCs w:val="28"/>
              </w:rPr>
              <w:t>CUENTA PÚBLICA - MUNICIPIO SANTA MARÍA DEL ORO</w:t>
            </w:r>
          </w:p>
          <w:p w:rsidR="00301134" w:rsidRPr="00B2492A" w:rsidRDefault="00301134" w:rsidP="0030113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NOTAS A LOS ESTADOS FINANCIEROS</w:t>
            </w:r>
          </w:p>
          <w:p w:rsidR="00A45E83" w:rsidRPr="005056F4" w:rsidRDefault="00301134" w:rsidP="005056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B2492A">
              <w:rPr>
                <w:rFonts w:ascii="Arial" w:hAnsi="Arial" w:cs="Arial"/>
                <w:b/>
                <w:sz w:val="24"/>
                <w:szCs w:val="28"/>
              </w:rPr>
              <w:t>DE DESGLOSE</w:t>
            </w:r>
          </w:p>
          <w:p w:rsidR="00A45E83" w:rsidRPr="002403D3" w:rsidRDefault="00D32522" w:rsidP="00A45E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periodo"/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>DEL 1 DE ENERO AL 31 DE DICIEMBRE DE 2022</w:t>
            </w:r>
          </w:p>
        </w:tc>
      </w:tr>
    </w:tbl>
    <w:p w:rsidR="00806603" w:rsidRPr="007326BD" w:rsidRDefault="00806603" w:rsidP="00A45E83">
      <w:pPr>
        <w:spacing w:after="12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A45E83" w:rsidRPr="007326BD" w:rsidTr="00A45E83">
        <w:tc>
          <w:tcPr>
            <w:tcW w:w="8978" w:type="dxa"/>
          </w:tcPr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firstLine="28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bookmarkStart w:id="3" w:name="cuerpo"/>
            <w:bookmarkEnd w:id="3"/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MX"/>
              </w:rPr>
              <w:t>NOTAS DE DESGLOSE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03" w:lineRule="exact"/>
              <w:ind w:firstLine="289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>I)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ab/>
              <w:t>Notas al Estado de Actividades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left="7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Ingresos y Otros Beneficios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16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Explicar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del rubro al que corresponden.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left="7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left="7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left="7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left="7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Gastos y Otras Pérdidas: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16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Explicar aquellas cuentas de los rubros que integran los grupos de: Gastos de Funcionamiento; Transferencias, Subsidios y Otras Ayudas; Participaciones y Aportaciones; Intereses, Comisiones y Otros Gastos de la Deuda Pública; Otros Gastos y Pérdidas Extraordinarias, así como Inversión Pública, que en lo individual representen el 15% o más del total del rubro al que corresponden.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4" w:lineRule="exact"/>
              <w:ind w:firstLine="289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>II)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ab/>
              <w:t>Notas al Estado de Situación Financiera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03" w:lineRule="exact"/>
              <w:ind w:firstLine="2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Activo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03" w:lineRule="exact"/>
              <w:ind w:firstLine="70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Efectivo y Equivalentes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acerca de los fondos con afectación específica, el tipo y monto de los mismos; de las inversiones temporales se revelará su tipo y monto.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03" w:lineRule="exact"/>
              <w:ind w:firstLine="2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Derechos a recibir Efectivo y Equivalentes y Bienes o Servicios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80" w:line="203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Por tipo de contribución se informará el monto que se encuentre pendiente de cobro y por recuperar de hasta cinco ejercicios anteriores, asimismo se deberán considerar los montos sujetos a algún tipo de juicio con una antigüedad mayor a la señalada y la factibilidad de cobro.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informará, de manera agrupada, los derechos a recibir efectivo y equivalentes, y bienes o servicios, (excepto cuentas por cobrar de contribuciones e inversiones financieras) en una desagregación por su vencimiento en días a 90, 180, menor o igual a 365 y mayor a 365. Adicionalmente, se informará de las características cualitativas relevantes que afecten a estas cuentas.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03" w:lineRule="exact"/>
              <w:ind w:firstLine="28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Inventarios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80" w:line="203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4.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clasificarán como inventarios los bienes disponibles para su transformación. Esta nota aplica para aquellos entes públicos que realicen algún proceso de transformación y/o elaboración de bienes.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En la nota se informará del sistema de costeo y método de valuación aplicados a los inventarios, así como la conveniencia de su aplicación dada la naturaleza de los mismos. Adicionalmente, se revelará el impacto en la información financiera por cambios en el método o sistema.</w:t>
            </w:r>
          </w:p>
          <w:p w:rsidR="00D32522" w:rsidRDefault="00D32522" w:rsidP="00D32522">
            <w:pPr>
              <w:tabs>
                <w:tab w:val="left" w:pos="288"/>
              </w:tabs>
              <w:autoSpaceDE w:val="0"/>
              <w:autoSpaceDN w:val="0"/>
              <w:adjustRightInd w:val="0"/>
              <w:spacing w:after="80" w:line="203" w:lineRule="exact"/>
              <w:ind w:left="284" w:firstLine="425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Almacenes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lastRenderedPageBreak/>
              <w:t>5.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De la cuenta Almacenes se informará acerca del método de valuación, así como la conveniencia de su aplicación. Adicionalmente, se revelará el impacto en la información financiera por cambios en el método.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80" w:line="203" w:lineRule="exact"/>
              <w:ind w:firstLine="28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Inversiones Financieras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6.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De la cuenta Fideicomisos, Mandatos y Contratos Análogos se informarán los recursos asignados por tipo y monto, y características significativas que tengan o puedan tener alguna incidencia en las mismas.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7.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informarán los saldos e integración de las cuentas: Participaciones y Aportaciones de Capital, Inversiones a Largo Plazo y Títulos y Valores a Largo Plazo.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80" w:line="203" w:lineRule="exact"/>
              <w:ind w:firstLine="28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Bienes Muebles, Inmuebles e Intangibles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8.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de manera agrupada por cuenta, los rubros de Bienes Muebles e Inmuebles, el monto de la cuenta y de la depreciación del ejercicio y la acumulada, el método de depreciación, tasas determinadas y los criterios de aplicación de los mismos. Asimismo, se informará de las características significativas del estado en que se encuentren los activos.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9.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de manera agrupada por cuenta, los rubros de activos intangibles y diferidos, su monto y naturaleza, amortización del ejercicio, amortización acumulada, tasa y métodos aplicados.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80" w:line="203" w:lineRule="exact"/>
              <w:ind w:left="720" w:hanging="432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Estimaciones y Deterioros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10.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informarán los criterios utilizados para la determinación de las estimaciones; por ejemplo: estimación de cuentas incobrables, estimación por deterioro de inventarios, deterioro de bienes y cualquier otra que aplique.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80" w:line="203" w:lineRule="exact"/>
              <w:ind w:firstLine="28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Otros Activos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03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De las cuentas de otros activos se informará por tipo circulante o no circulante, los montos totales asociados y sus características cualitativas significativas que les impacten financieramente.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>Pasivo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1" w:line="224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Cuentas y Documentos por pagar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 xml:space="preserve"> 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24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elaborará una relación de las cuentas y documentos por pagar en una desagregación por su vencimiento en días a 90, 180, menor o igual a 365 y mayor a 365. Asimismo, se informará sobre la factibilidad del pago de dichos pasivos.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1" w:line="224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Fondos y Bienes de Terceros en Garantía y/o Administración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24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de manera agrupada los recursos localizados en Fondos de Bienes de Terceros en Garantía y/o Administración a corto y largo plazo, así como la naturaleza de dichos recursos y sus características cualitativas significativas que les afecten o pudieran afectarles financieramente.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1" w:line="224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Pasivos Diferidos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240" w:line="224" w:lineRule="exact"/>
              <w:ind w:left="709" w:hanging="425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de las cuentas de los pasivos diferidos por tipo, monto y naturaleza, así como las características significativas que les impacten o pudieran impactarles financieramente.</w:t>
            </w:r>
          </w:p>
          <w:p w:rsidR="00D32522" w:rsidRDefault="00D32522" w:rsidP="00D32522">
            <w:pPr>
              <w:tabs>
                <w:tab w:val="left" w:pos="723"/>
              </w:tabs>
              <w:autoSpaceDE w:val="0"/>
              <w:autoSpaceDN w:val="0"/>
              <w:adjustRightInd w:val="0"/>
              <w:spacing w:after="120" w:line="224" w:lineRule="exact"/>
              <w:ind w:left="723" w:hanging="43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Provisiones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24" w:lineRule="exact"/>
              <w:ind w:left="726" w:hanging="437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4.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de las cuentas de provisiones por tipo, monto y naturaleza, así como las características significativas que les impacten.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20" w:line="224" w:lineRule="exact"/>
              <w:ind w:left="723" w:hanging="43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MX"/>
              </w:rPr>
              <w:tab/>
              <w:t>Otros Pasivos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360" w:line="224" w:lineRule="exact"/>
              <w:ind w:left="726" w:hanging="437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5.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De las cuentas de otros pasivos se informará por tipo circulante o no circulante, los montos totales y sus características cualitativas significativas que les impacten financieramente.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lastRenderedPageBreak/>
              <w:t>III)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ab/>
              <w:t>Notas al Estado de Variación en la Hacienda Pública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01" w:line="224" w:lineRule="exact"/>
              <w:ind w:left="720" w:hanging="432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de manera agrupada, acerca de las modificaciones al patrimonio contribuido por tipo, naturaleza y monto.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360" w:line="224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Se informará de manera agrupada, acerca del monto y procedencia de los recursos que modifican al patrimonio generado.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01" w:line="224" w:lineRule="exact"/>
              <w:ind w:firstLine="288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>IV)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ab/>
              <w:t xml:space="preserve">Notas al Estado de Flujos de Efectivo </w:t>
            </w: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20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Presentar el análisis de las cifras del periodo actual (20XN) y periodo anterior (20XN-1) del Efectivo y Equivalentes al Efectivo, al Final del Ejercicio del Estado de Flujos de Efectivo, respecto a la composición del rubro de Efectivo y Equivalentes, utilizando el siguiente cuadro:</w:t>
            </w: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3115"/>
              <w:gridCol w:w="1013"/>
              <w:gridCol w:w="1058"/>
            </w:tblGrid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18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Efectivo y Equivalentes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Concepto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20XN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20XN-1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  <w:lang w:val="es-ES"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Efectivo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Bancos/Tesorería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Bancos/Dependencias y Otros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 xml:space="preserve">Inversiones Temporales (Hasta 3 meses) 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Fondos con Afectación Específica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Depósitos de Fondos de Terceros en Garantía y/o Administración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Otros Efectivos y Equivalentes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1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Total</w:t>
                  </w:r>
                </w:p>
              </w:tc>
              <w:tc>
                <w:tcPr>
                  <w:tcW w:w="10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0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</w:tbl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20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Detallar las adquisiciones de las Actividades de Inversión efectivamente pagadas, respecto del apartado de aplicación.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92"/>
              <w:gridCol w:w="1227"/>
              <w:gridCol w:w="1276"/>
            </w:tblGrid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6095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Adquisiciones de Actividades de Inversión efectivamente pagadas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Concepto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20XN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20XN-1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Bienes Inmuebles, Infraestructura y Construcciones en Proceso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Terrenos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Viviendas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Edificios no Habitacionales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Infraestructura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Construcciones en Proceso en Bienes de Dominio Público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Construcciones en Proceso en Bienes Propios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Otros Bienes Inmuebles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Bienes Muebles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Mobiliario y Equipo de Administración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Mobiliario y Equipo Educacional y Recreativo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Equipo e Instrumental Médico y de Laboratorio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Vehículos y Equipo de Transporte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Equipo de Defensa y Seguridad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Maquinaria, Otros Equipos y Herramientas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Colecciones, Obras de Arte y Objetos Valiosos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Activos Biológicos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Otras Inversiones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5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Total</w:t>
                  </w:r>
                </w:p>
              </w:tc>
              <w:tc>
                <w:tcPr>
                  <w:tcW w:w="12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</w:tbl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8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240" w:line="220" w:lineRule="exact"/>
              <w:ind w:left="720" w:hanging="431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3.</w:t>
            </w:r>
            <w:r>
              <w:rPr>
                <w:rFonts w:ascii="Arial" w:hAnsi="Arial" w:cs="Arial"/>
                <w:sz w:val="18"/>
                <w:szCs w:val="18"/>
                <w:lang w:eastAsia="es-MX"/>
              </w:rPr>
              <w:tab/>
              <w:t>Presentar la Conciliación de los Flujos de Efectivo Netos de las Actividades de Operación y los saldos de Resultados del Ejercicio (Ahorro/Desahorro), utilizando el siguiente cuadro:</w:t>
            </w: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3177"/>
              <w:gridCol w:w="1148"/>
              <w:gridCol w:w="1134"/>
            </w:tblGrid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545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CONCILIACION DE FLUJOS DE EFECTIVO NETOS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Concepto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20XN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20XN-1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Resultados del Ejercicio Ahorro/Desahorro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Movimientos de partidas (o rubros) que no afectan al efectivo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Depreciación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Amortización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Incrementos en las provisiones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X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Incremento en inversiones producido por revaluación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(X)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(X)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Ganancia/pérdida en venta de bienes muebles, inmuebles e intangibles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(X)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(X)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Incremento en cuentas por cobrar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(X)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  <w:t>(X)</w:t>
                  </w:r>
                </w:p>
              </w:tc>
            </w:tr>
            <w:tr w:rsidR="00D32522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31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s-ES" w:eastAsia="es-MX"/>
                    </w:rPr>
                    <w:t>Flujos de Efectivo Netos de las Actividades de Operación</w:t>
                  </w:r>
                </w:p>
              </w:tc>
              <w:tc>
                <w:tcPr>
                  <w:tcW w:w="11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s-ES" w:eastAsia="es-MX"/>
                    </w:rPr>
                    <w:t>X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2522" w:rsidRDefault="00D32522" w:rsidP="00D325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s-ES" w:eastAsia="es-MX"/>
                    </w:rPr>
                    <w:t>X</w:t>
                  </w:r>
                </w:p>
              </w:tc>
            </w:tr>
          </w:tbl>
          <w:p w:rsidR="00D32522" w:rsidRDefault="00D32522" w:rsidP="00D32522">
            <w:pPr>
              <w:autoSpaceDE w:val="0"/>
              <w:autoSpaceDN w:val="0"/>
              <w:adjustRightInd w:val="0"/>
              <w:spacing w:after="120" w:line="220" w:lineRule="exact"/>
              <w:ind w:firstLine="289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240" w:line="224" w:lineRule="exact"/>
              <w:ind w:firstLine="289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Los conceptos incluidos en los movimientos de partidas (o rubros) que no afectan al efectivo, que aparecen en el cuadro anterior son enunciativos y tienen como finalidad mostrar algunos ejemplos para elaborar este cuadro.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240" w:line="224" w:lineRule="exact"/>
              <w:ind w:firstLine="289"/>
              <w:jc w:val="both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s-ES" w:eastAsia="es-MX"/>
              </w:rPr>
              <w:t>V) Conciliación entre los ingresos presupuestarios y contables, así como entre los egresos presupuestarios y los gastos contables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360" w:line="224" w:lineRule="exact"/>
              <w:ind w:firstLine="289"/>
              <w:jc w:val="both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  <w:lang w:eastAsia="es-MX"/>
              </w:rPr>
              <w:t>La conciliación se presentará atendiendo a lo dispuesto por el “Acuerdo por el que se emite el formato de conciliación entre los ingresos presupuestarios y contables, así como entre los egresos presupuestarios y los gastos contables” y sus modificaciones.</w:t>
            </w:r>
          </w:p>
          <w:p w:rsidR="00D32522" w:rsidRDefault="00D32522" w:rsidP="00D325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3"/>
                <w:szCs w:val="23"/>
                <w:lang w:eastAsia="es-MX"/>
              </w:rPr>
            </w:pPr>
          </w:p>
          <w:p w:rsidR="00A45E83" w:rsidRPr="007326BD" w:rsidRDefault="00A45E83" w:rsidP="00A45E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5E83" w:rsidRDefault="00A45E83">
      <w:pPr>
        <w:rPr>
          <w:rFonts w:ascii="Arial" w:hAnsi="Arial" w:cs="Arial"/>
        </w:rPr>
      </w:pPr>
    </w:p>
    <w:p w:rsidR="00B157EC" w:rsidRDefault="00B157E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37"/>
        <w:gridCol w:w="1242"/>
        <w:gridCol w:w="3849"/>
      </w:tblGrid>
      <w:tr w:rsidR="00425DF0" w:rsidRPr="00EB7BF7" w:rsidTr="00FC59DA">
        <w:trPr>
          <w:jc w:val="center"/>
        </w:trPr>
        <w:tc>
          <w:tcPr>
            <w:tcW w:w="3794" w:type="dxa"/>
            <w:shd w:val="clear" w:color="auto" w:fill="auto"/>
          </w:tcPr>
          <w:p w:rsidR="00FC59DA" w:rsidRPr="00EB7BF7" w:rsidRDefault="007E4F17" w:rsidP="00FC59DA">
            <w:pPr>
              <w:tabs>
                <w:tab w:val="center" w:pos="1789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4AF4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8pt;margin-top:20.45pt;width:18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A9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"/>
                  </w:pict>
                </mc:Fallback>
              </mc:AlternateContent>
            </w:r>
            <w:r w:rsidR="00FC59DA"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425DF0" w:rsidRPr="00EB7BF7" w:rsidRDefault="007E4F17" w:rsidP="005B33F8">
            <w:pPr>
              <w:tabs>
                <w:tab w:val="center" w:pos="1846"/>
              </w:tabs>
              <w:rPr>
                <w:rFonts w:ascii="Arial" w:hAnsi="Arial" w:cs="Arial"/>
                <w:b/>
                <w:sz w:val="20"/>
              </w:rPr>
            </w:pPr>
            <w:r w:rsidRPr="00EB7BF7">
              <w:rPr>
                <w:rFonts w:ascii="Arial" w:hAnsi="Arial" w:cs="Arial"/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259715</wp:posOffset>
                      </wp:positionV>
                      <wp:extent cx="2295525" cy="0"/>
                      <wp:effectExtent l="5080" t="13335" r="13970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7E6B7" id="AutoShape 3" o:spid="_x0000_s1026" type="#_x0000_t32" style="position:absolute;margin-left:1.2pt;margin-top:20.45pt;width:1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"/>
                  </w:pict>
                </mc:Fallback>
              </mc:AlternateContent>
            </w:r>
            <w:r w:rsidR="005B33F8">
              <w:rPr>
                <w:rFonts w:ascii="Arial" w:hAnsi="Arial" w:cs="Arial"/>
                <w:b/>
                <w:sz w:val="20"/>
              </w:rPr>
              <w:tab/>
            </w:r>
          </w:p>
        </w:tc>
      </w:tr>
      <w:tr w:rsidR="00425DF0" w:rsidRPr="00EB7BF7" w:rsidTr="00FC59DA">
        <w:trPr>
          <w:jc w:val="center"/>
        </w:trPr>
        <w:tc>
          <w:tcPr>
            <w:tcW w:w="3794" w:type="dxa"/>
            <w:shd w:val="clear" w:color="auto" w:fill="auto"/>
          </w:tcPr>
          <w:p w:rsidR="00425DF0" w:rsidRPr="00EB7BF7" w:rsidRDefault="00D32522" w:rsidP="004073AF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4" w:name="firma1"/>
            <w:bookmarkEnd w:id="4"/>
            <w:r>
              <w:rPr>
                <w:rFonts w:ascii="Arial" w:hAnsi="Arial" w:cs="Arial"/>
                <w:b/>
                <w:sz w:val="20"/>
              </w:rPr>
              <w:t>OSCAR MENDOZA SANCHEZ</w:t>
            </w:r>
          </w:p>
          <w:p w:rsidR="00425DF0" w:rsidRPr="00EB7BF7" w:rsidRDefault="00D32522" w:rsidP="00F13D94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5" w:name="Cargo1"/>
            <w:bookmarkEnd w:id="5"/>
            <w:r>
              <w:rPr>
                <w:rFonts w:ascii="Arial" w:hAnsi="Arial" w:cs="Arial"/>
                <w:b/>
                <w:sz w:val="20"/>
              </w:rPr>
              <w:t>PRESIDENTA MUNICIPAL</w:t>
            </w:r>
          </w:p>
        </w:tc>
        <w:tc>
          <w:tcPr>
            <w:tcW w:w="1276" w:type="dxa"/>
            <w:shd w:val="clear" w:color="auto" w:fill="auto"/>
          </w:tcPr>
          <w:p w:rsidR="00425DF0" w:rsidRPr="00EB7BF7" w:rsidRDefault="00425DF0" w:rsidP="00B157E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8" w:type="dxa"/>
            <w:shd w:val="clear" w:color="auto" w:fill="auto"/>
          </w:tcPr>
          <w:p w:rsidR="00425DF0" w:rsidRPr="00EB7BF7" w:rsidRDefault="00D32522" w:rsidP="00BA7910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6" w:name="firma2"/>
            <w:bookmarkEnd w:id="6"/>
            <w:r>
              <w:rPr>
                <w:rFonts w:ascii="Arial" w:hAnsi="Arial" w:cs="Arial"/>
                <w:b/>
                <w:sz w:val="20"/>
              </w:rPr>
              <w:t>ALISTREICY OCHOA CHAVEZ</w:t>
            </w:r>
          </w:p>
          <w:p w:rsidR="001F0913" w:rsidRPr="00EB7BF7" w:rsidRDefault="00D32522" w:rsidP="00054D51">
            <w:pPr>
              <w:jc w:val="center"/>
              <w:rPr>
                <w:rFonts w:ascii="Arial" w:hAnsi="Arial" w:cs="Arial"/>
                <w:b/>
                <w:sz w:val="20"/>
              </w:rPr>
            </w:pPr>
            <w:bookmarkStart w:id="7" w:name="Cargo2"/>
            <w:bookmarkEnd w:id="7"/>
            <w:r>
              <w:rPr>
                <w:rFonts w:ascii="Arial" w:hAnsi="Arial" w:cs="Arial"/>
                <w:b/>
                <w:sz w:val="20"/>
              </w:rPr>
              <w:t>ENCARGADA DE LA HACIENDA</w:t>
            </w:r>
          </w:p>
        </w:tc>
      </w:tr>
    </w:tbl>
    <w:p w:rsidR="00536F66" w:rsidRDefault="00536F66" w:rsidP="00B157EC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828"/>
      </w:tblGrid>
      <w:tr w:rsidR="00721735" w:rsidRPr="00721735" w:rsidTr="003F7AB9">
        <w:tc>
          <w:tcPr>
            <w:tcW w:w="8978" w:type="dxa"/>
            <w:shd w:val="clear" w:color="auto" w:fill="auto"/>
          </w:tcPr>
          <w:p w:rsidR="00721735" w:rsidRPr="00721735" w:rsidRDefault="00D32522" w:rsidP="00523D61">
            <w:pPr>
              <w:jc w:val="center"/>
              <w:rPr>
                <w:rFonts w:ascii="C39HrP24DhTt" w:hAnsi="C39HrP24DhTt" w:cs="Arial"/>
                <w:sz w:val="44"/>
                <w:szCs w:val="44"/>
              </w:rPr>
            </w:pPr>
            <w:bookmarkStart w:id="8" w:name="codigo"/>
            <w:bookmarkEnd w:id="8"/>
            <w:r>
              <w:rPr>
                <w:rFonts w:ascii="C39HrP24DhTt" w:hAnsi="C39HrP24DhTt" w:cs="Arial"/>
                <w:sz w:val="44"/>
                <w:szCs w:val="44"/>
              </w:rPr>
              <w:t>ASEJ2022-17-07-08-2023-1</w:t>
            </w:r>
          </w:p>
        </w:tc>
      </w:tr>
    </w:tbl>
    <w:p w:rsidR="00425DF0" w:rsidRDefault="00425DF0" w:rsidP="00B157EC">
      <w:pPr>
        <w:rPr>
          <w:rFonts w:ascii="Arial" w:hAnsi="Arial" w:cs="Arial"/>
          <w:sz w:val="20"/>
        </w:rPr>
      </w:pPr>
    </w:p>
    <w:p w:rsidR="00B157EC" w:rsidRPr="00B157EC" w:rsidRDefault="00B157EC" w:rsidP="00B157EC">
      <w:pPr>
        <w:rPr>
          <w:rFonts w:ascii="Arial" w:hAnsi="Arial" w:cs="Arial"/>
          <w:sz w:val="24"/>
          <w:szCs w:val="24"/>
        </w:rPr>
      </w:pPr>
      <w:r w:rsidRPr="00B157EC">
        <w:rPr>
          <w:rFonts w:ascii="Arial" w:hAnsi="Arial" w:cs="Arial"/>
          <w:sz w:val="24"/>
          <w:szCs w:val="24"/>
        </w:rPr>
        <w:t>Bajo protesta de decir verdad declaramos que los Estados Financieros y sus Notas son razonablemente correctos y responsabilidad del emisor.</w:t>
      </w:r>
    </w:p>
    <w:p w:rsidR="00B157EC" w:rsidRDefault="00B157EC">
      <w:pPr>
        <w:rPr>
          <w:rFonts w:ascii="Arial" w:hAnsi="Arial" w:cs="Arial"/>
        </w:rPr>
      </w:pPr>
    </w:p>
    <w:p w:rsidR="00B157EC" w:rsidRPr="007326BD" w:rsidRDefault="00B157EC">
      <w:pPr>
        <w:rPr>
          <w:rFonts w:ascii="Arial" w:hAnsi="Arial" w:cs="Arial"/>
        </w:rPr>
      </w:pPr>
    </w:p>
    <w:sectPr w:rsidR="00B157EC" w:rsidRPr="007326BD" w:rsidSect="008066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39HrP24Dh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83"/>
    <w:rsid w:val="00054D51"/>
    <w:rsid w:val="001213FD"/>
    <w:rsid w:val="00150A8F"/>
    <w:rsid w:val="001F0913"/>
    <w:rsid w:val="001F5C2A"/>
    <w:rsid w:val="002403D3"/>
    <w:rsid w:val="002E6C50"/>
    <w:rsid w:val="00301134"/>
    <w:rsid w:val="003F7AB9"/>
    <w:rsid w:val="0040191D"/>
    <w:rsid w:val="004073AF"/>
    <w:rsid w:val="00425DF0"/>
    <w:rsid w:val="005056F4"/>
    <w:rsid w:val="00523D61"/>
    <w:rsid w:val="00536F66"/>
    <w:rsid w:val="005B33F8"/>
    <w:rsid w:val="00721735"/>
    <w:rsid w:val="007326BD"/>
    <w:rsid w:val="007E4F17"/>
    <w:rsid w:val="00806603"/>
    <w:rsid w:val="00A45E83"/>
    <w:rsid w:val="00B157EC"/>
    <w:rsid w:val="00B35761"/>
    <w:rsid w:val="00BA7910"/>
    <w:rsid w:val="00CD584F"/>
    <w:rsid w:val="00D2796E"/>
    <w:rsid w:val="00D32522"/>
    <w:rsid w:val="00D64D9B"/>
    <w:rsid w:val="00EB7BF7"/>
    <w:rsid w:val="00F13D94"/>
    <w:rsid w:val="00FA2397"/>
    <w:rsid w:val="00FC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D4581-815E-4C02-8BF3-9718178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60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1347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ASEJ;Ramiro Ochoa Cisneros</dc:creator>
  <cp:keywords/>
  <cp:lastModifiedBy>Jose Ramiro Campos Vazquez</cp:lastModifiedBy>
  <cp:revision>6</cp:revision>
  <dcterms:created xsi:type="dcterms:W3CDTF">2020-05-27T16:02:00Z</dcterms:created>
  <dcterms:modified xsi:type="dcterms:W3CDTF">2023-08-07T16:00:00Z</dcterms:modified>
</cp:coreProperties>
</file>